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673" w:rsidRDefault="00404673">
      <w:pPr>
        <w:pStyle w:val="ConsPlusNormal"/>
        <w:jc w:val="right"/>
        <w:outlineLvl w:val="0"/>
      </w:pPr>
      <w:r>
        <w:t>Приложение 32</w:t>
      </w:r>
    </w:p>
    <w:p w:rsidR="00404673" w:rsidRDefault="00404673">
      <w:pPr>
        <w:pStyle w:val="ConsPlusNormal"/>
        <w:jc w:val="right"/>
      </w:pPr>
      <w:r>
        <w:t>к Закону</w:t>
      </w:r>
    </w:p>
    <w:p w:rsidR="00404673" w:rsidRDefault="00404673">
      <w:pPr>
        <w:pStyle w:val="ConsPlusNormal"/>
        <w:jc w:val="right"/>
      </w:pPr>
      <w:r>
        <w:t>Кировской области</w:t>
      </w:r>
    </w:p>
    <w:p w:rsidR="00404673" w:rsidRDefault="00404673">
      <w:pPr>
        <w:pStyle w:val="ConsPlusNormal"/>
        <w:jc w:val="right"/>
      </w:pPr>
      <w:r>
        <w:t>"Об областном бюджете на 2024 год</w:t>
      </w:r>
    </w:p>
    <w:p w:rsidR="00404673" w:rsidRDefault="00404673">
      <w:pPr>
        <w:pStyle w:val="ConsPlusNormal"/>
        <w:jc w:val="right"/>
      </w:pPr>
      <w:r>
        <w:t>и на плановый период 2025 и 2026 годов"</w:t>
      </w:r>
    </w:p>
    <w:p w:rsidR="00404673" w:rsidRDefault="00404673">
      <w:pPr>
        <w:pStyle w:val="ConsPlusNormal"/>
        <w:jc w:val="both"/>
      </w:pPr>
    </w:p>
    <w:p w:rsidR="00404673" w:rsidRDefault="00404673">
      <w:pPr>
        <w:pStyle w:val="ConsPlusTitle"/>
        <w:jc w:val="center"/>
      </w:pPr>
      <w:r>
        <w:t>ПЕРЕЧЕНЬ И ОБЪЕМЫ</w:t>
      </w:r>
    </w:p>
    <w:p w:rsidR="00404673" w:rsidRDefault="00404673">
      <w:pPr>
        <w:pStyle w:val="ConsPlusTitle"/>
        <w:jc w:val="center"/>
      </w:pPr>
      <w:r>
        <w:t>СУБСИДИЙ БЮДЖЕТАМ МУНИЦИПАЛЬНЫХ ОБРАЗОВАНИЙ, ПРЕДОСТАВЛЯЕМЫХ</w:t>
      </w:r>
    </w:p>
    <w:p w:rsidR="00404673" w:rsidRDefault="00404673">
      <w:pPr>
        <w:pStyle w:val="ConsPlusTitle"/>
        <w:jc w:val="center"/>
      </w:pPr>
      <w:r>
        <w:t>ИЗ ОБЛАСТНОГО БЮДЖЕТА В ЦЕЛЯХ СОФИНАНСИРОВАНИЯ РАСХОДНЫХ</w:t>
      </w:r>
    </w:p>
    <w:p w:rsidR="00404673" w:rsidRDefault="00404673">
      <w:pPr>
        <w:pStyle w:val="ConsPlusTitle"/>
        <w:jc w:val="center"/>
      </w:pPr>
      <w:r>
        <w:t>ОБЯЗАТЕЛЬСТВ, ВОЗНИКАЮЩИХ ПРИ ВЫПОЛНЕНИИ ПОЛНОМОЧИЙ ОРГАНОВ</w:t>
      </w:r>
    </w:p>
    <w:p w:rsidR="00404673" w:rsidRDefault="00404673">
      <w:pPr>
        <w:pStyle w:val="ConsPlusTitle"/>
        <w:jc w:val="center"/>
      </w:pPr>
      <w:r>
        <w:t>МЕСТНОГО САМОУПРАВЛЕНИЯ ПО РЕШЕНИЮ ВОПРОСОВ</w:t>
      </w:r>
    </w:p>
    <w:p w:rsidR="00404673" w:rsidRDefault="00404673">
      <w:pPr>
        <w:pStyle w:val="ConsPlusTitle"/>
        <w:jc w:val="center"/>
      </w:pPr>
      <w:r>
        <w:t>МЕСТНОГО ЗНАЧЕНИЯ</w:t>
      </w:r>
    </w:p>
    <w:p w:rsidR="00404673" w:rsidRDefault="0040467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14284"/>
        <w:gridCol w:w="113"/>
      </w:tblGrid>
      <w:tr w:rsidR="004046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4673" w:rsidRDefault="0040467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4673" w:rsidRDefault="0040467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4673" w:rsidRDefault="00404673">
            <w:pPr>
              <w:pStyle w:val="ConsPlusNormal"/>
              <w:jc w:val="center"/>
            </w:pPr>
            <w:r>
              <w:rPr>
                <w:color w:val="392C69"/>
              </w:rPr>
              <w:t>Список изменяющих документов</w:t>
            </w:r>
          </w:p>
          <w:p w:rsidR="00404673" w:rsidRDefault="00404673">
            <w:pPr>
              <w:pStyle w:val="ConsPlusNormal"/>
              <w:jc w:val="center"/>
            </w:pPr>
            <w:r>
              <w:rPr>
                <w:color w:val="392C69"/>
              </w:rPr>
              <w:t xml:space="preserve">(в ред. </w:t>
            </w:r>
            <w:hyperlink r:id="rId4">
              <w:r>
                <w:rPr>
                  <w:color w:val="0000FF"/>
                </w:rPr>
                <w:t>Закона</w:t>
              </w:r>
            </w:hyperlink>
            <w:r>
              <w:rPr>
                <w:color w:val="392C69"/>
              </w:rPr>
              <w:t xml:space="preserve"> Кировской области от 28.03.2024 N 252-ЗО)</w:t>
            </w:r>
          </w:p>
        </w:tc>
        <w:tc>
          <w:tcPr>
            <w:tcW w:w="113" w:type="dxa"/>
            <w:tcBorders>
              <w:top w:val="nil"/>
              <w:left w:val="nil"/>
              <w:bottom w:val="nil"/>
              <w:right w:val="nil"/>
            </w:tcBorders>
            <w:shd w:val="clear" w:color="auto" w:fill="F4F3F8"/>
            <w:tcMar>
              <w:top w:w="0" w:type="dxa"/>
              <w:left w:w="0" w:type="dxa"/>
              <w:bottom w:w="0" w:type="dxa"/>
              <w:right w:w="0" w:type="dxa"/>
            </w:tcMar>
          </w:tcPr>
          <w:p w:rsidR="00404673" w:rsidRDefault="00404673">
            <w:pPr>
              <w:pStyle w:val="ConsPlusNormal"/>
            </w:pPr>
          </w:p>
        </w:tc>
      </w:tr>
    </w:tbl>
    <w:p w:rsidR="00404673" w:rsidRDefault="00404673">
      <w:pPr>
        <w:pStyle w:val="ConsPlusNormal"/>
        <w:jc w:val="both"/>
      </w:pPr>
    </w:p>
    <w:p w:rsidR="00404673" w:rsidRDefault="00404673">
      <w:pPr>
        <w:pStyle w:val="ConsPlusNormal"/>
        <w:jc w:val="right"/>
      </w:pPr>
      <w:r>
        <w:t>(тыс. рублей)</w:t>
      </w:r>
    </w:p>
    <w:p w:rsidR="00404673" w:rsidRDefault="00404673">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077"/>
        <w:gridCol w:w="567"/>
        <w:gridCol w:w="567"/>
        <w:gridCol w:w="1587"/>
        <w:gridCol w:w="567"/>
        <w:gridCol w:w="1474"/>
        <w:gridCol w:w="1701"/>
        <w:gridCol w:w="1474"/>
        <w:gridCol w:w="1474"/>
      </w:tblGrid>
      <w:tr w:rsidR="00404673">
        <w:tc>
          <w:tcPr>
            <w:tcW w:w="3118" w:type="dxa"/>
          </w:tcPr>
          <w:p w:rsidR="00404673" w:rsidRDefault="00404673">
            <w:pPr>
              <w:pStyle w:val="ConsPlusNormal"/>
              <w:jc w:val="center"/>
            </w:pPr>
            <w:r>
              <w:t>Наименование субсидий местным бюджетам из областного бюджета</w:t>
            </w:r>
          </w:p>
        </w:tc>
        <w:tc>
          <w:tcPr>
            <w:tcW w:w="1077" w:type="dxa"/>
          </w:tcPr>
          <w:p w:rsidR="00404673" w:rsidRDefault="00404673">
            <w:pPr>
              <w:pStyle w:val="ConsPlusNormal"/>
              <w:jc w:val="center"/>
            </w:pPr>
            <w:r>
              <w:t>Код главного распорядителя средств областного бюджета</w:t>
            </w:r>
          </w:p>
        </w:tc>
        <w:tc>
          <w:tcPr>
            <w:tcW w:w="567" w:type="dxa"/>
          </w:tcPr>
          <w:p w:rsidR="00404673" w:rsidRDefault="00404673">
            <w:pPr>
              <w:pStyle w:val="ConsPlusNormal"/>
              <w:jc w:val="center"/>
            </w:pPr>
            <w:r>
              <w:t>Раздел</w:t>
            </w:r>
          </w:p>
        </w:tc>
        <w:tc>
          <w:tcPr>
            <w:tcW w:w="567" w:type="dxa"/>
          </w:tcPr>
          <w:p w:rsidR="00404673" w:rsidRDefault="00404673">
            <w:pPr>
              <w:pStyle w:val="ConsPlusNormal"/>
              <w:jc w:val="center"/>
            </w:pPr>
            <w:r>
              <w:t>Подраздел</w:t>
            </w:r>
          </w:p>
        </w:tc>
        <w:tc>
          <w:tcPr>
            <w:tcW w:w="1587" w:type="dxa"/>
          </w:tcPr>
          <w:p w:rsidR="00404673" w:rsidRDefault="00404673">
            <w:pPr>
              <w:pStyle w:val="ConsPlusNormal"/>
              <w:jc w:val="center"/>
            </w:pPr>
            <w:r>
              <w:t>Целевая статья</w:t>
            </w:r>
          </w:p>
        </w:tc>
        <w:tc>
          <w:tcPr>
            <w:tcW w:w="567" w:type="dxa"/>
          </w:tcPr>
          <w:p w:rsidR="00404673" w:rsidRDefault="00404673">
            <w:pPr>
              <w:pStyle w:val="ConsPlusNormal"/>
              <w:jc w:val="center"/>
            </w:pPr>
            <w:r>
              <w:t>Вид расхода</w:t>
            </w:r>
          </w:p>
        </w:tc>
        <w:tc>
          <w:tcPr>
            <w:tcW w:w="1474" w:type="dxa"/>
          </w:tcPr>
          <w:p w:rsidR="00404673" w:rsidRDefault="00404673">
            <w:pPr>
              <w:pStyle w:val="ConsPlusNormal"/>
              <w:jc w:val="center"/>
            </w:pPr>
            <w:r>
              <w:t>2024 год</w:t>
            </w:r>
          </w:p>
        </w:tc>
        <w:tc>
          <w:tcPr>
            <w:tcW w:w="1701" w:type="dxa"/>
          </w:tcPr>
          <w:p w:rsidR="00404673" w:rsidRDefault="00404673">
            <w:pPr>
              <w:pStyle w:val="ConsPlusNormal"/>
              <w:jc w:val="center"/>
            </w:pPr>
            <w:r>
              <w:t xml:space="preserve">В том числе за счет остатков средств областного бюджета на 1 января 2024 года в соответствии с </w:t>
            </w:r>
            <w:hyperlink r:id="rId5">
              <w:r>
                <w:rPr>
                  <w:color w:val="0000FF"/>
                </w:rPr>
                <w:t>пунктом 3 статьи 95</w:t>
              </w:r>
            </w:hyperlink>
            <w:r>
              <w:t xml:space="preserve"> Бюджетного кодекса Российской Федерации</w:t>
            </w:r>
          </w:p>
        </w:tc>
        <w:tc>
          <w:tcPr>
            <w:tcW w:w="1474" w:type="dxa"/>
          </w:tcPr>
          <w:p w:rsidR="00404673" w:rsidRDefault="00404673">
            <w:pPr>
              <w:pStyle w:val="ConsPlusNormal"/>
              <w:jc w:val="center"/>
            </w:pPr>
            <w:r>
              <w:t>2025 год</w:t>
            </w:r>
          </w:p>
        </w:tc>
        <w:tc>
          <w:tcPr>
            <w:tcW w:w="1474" w:type="dxa"/>
          </w:tcPr>
          <w:p w:rsidR="00404673" w:rsidRDefault="00404673">
            <w:pPr>
              <w:pStyle w:val="ConsPlusNormal"/>
              <w:jc w:val="center"/>
            </w:pPr>
            <w:r>
              <w:t>2026 год</w:t>
            </w:r>
          </w:p>
        </w:tc>
      </w:tr>
      <w:tr w:rsidR="00404673">
        <w:tc>
          <w:tcPr>
            <w:tcW w:w="3118" w:type="dxa"/>
          </w:tcPr>
          <w:p w:rsidR="00404673" w:rsidRDefault="00404673">
            <w:pPr>
              <w:pStyle w:val="ConsPlusNormal"/>
              <w:jc w:val="center"/>
            </w:pPr>
            <w:r>
              <w:lastRenderedPageBreak/>
              <w:t>1</w:t>
            </w:r>
          </w:p>
        </w:tc>
        <w:tc>
          <w:tcPr>
            <w:tcW w:w="1077" w:type="dxa"/>
          </w:tcPr>
          <w:p w:rsidR="00404673" w:rsidRDefault="00404673">
            <w:pPr>
              <w:pStyle w:val="ConsPlusNormal"/>
              <w:jc w:val="center"/>
            </w:pPr>
            <w:r>
              <w:t>2</w:t>
            </w:r>
          </w:p>
        </w:tc>
        <w:tc>
          <w:tcPr>
            <w:tcW w:w="567" w:type="dxa"/>
          </w:tcPr>
          <w:p w:rsidR="00404673" w:rsidRDefault="00404673">
            <w:pPr>
              <w:pStyle w:val="ConsPlusNormal"/>
              <w:jc w:val="center"/>
            </w:pPr>
            <w:r>
              <w:t>3</w:t>
            </w:r>
          </w:p>
        </w:tc>
        <w:tc>
          <w:tcPr>
            <w:tcW w:w="567" w:type="dxa"/>
          </w:tcPr>
          <w:p w:rsidR="00404673" w:rsidRDefault="00404673">
            <w:pPr>
              <w:pStyle w:val="ConsPlusNormal"/>
              <w:jc w:val="center"/>
            </w:pPr>
            <w:r>
              <w:t>4</w:t>
            </w:r>
          </w:p>
        </w:tc>
        <w:tc>
          <w:tcPr>
            <w:tcW w:w="1587" w:type="dxa"/>
          </w:tcPr>
          <w:p w:rsidR="00404673" w:rsidRDefault="00404673">
            <w:pPr>
              <w:pStyle w:val="ConsPlusNormal"/>
              <w:jc w:val="center"/>
            </w:pPr>
            <w:r>
              <w:t>5</w:t>
            </w:r>
          </w:p>
        </w:tc>
        <w:tc>
          <w:tcPr>
            <w:tcW w:w="567" w:type="dxa"/>
          </w:tcPr>
          <w:p w:rsidR="00404673" w:rsidRDefault="00404673">
            <w:pPr>
              <w:pStyle w:val="ConsPlusNormal"/>
              <w:jc w:val="center"/>
            </w:pPr>
            <w:r>
              <w:t>6</w:t>
            </w:r>
          </w:p>
        </w:tc>
        <w:tc>
          <w:tcPr>
            <w:tcW w:w="1474" w:type="dxa"/>
          </w:tcPr>
          <w:p w:rsidR="00404673" w:rsidRDefault="00404673">
            <w:pPr>
              <w:pStyle w:val="ConsPlusNormal"/>
              <w:jc w:val="center"/>
            </w:pPr>
            <w:r>
              <w:t>7</w:t>
            </w:r>
          </w:p>
        </w:tc>
        <w:tc>
          <w:tcPr>
            <w:tcW w:w="1701" w:type="dxa"/>
          </w:tcPr>
          <w:p w:rsidR="00404673" w:rsidRDefault="00404673">
            <w:pPr>
              <w:pStyle w:val="ConsPlusNormal"/>
              <w:jc w:val="center"/>
            </w:pPr>
            <w:r>
              <w:t>8</w:t>
            </w:r>
          </w:p>
        </w:tc>
        <w:tc>
          <w:tcPr>
            <w:tcW w:w="1474" w:type="dxa"/>
          </w:tcPr>
          <w:p w:rsidR="00404673" w:rsidRDefault="00404673">
            <w:pPr>
              <w:pStyle w:val="ConsPlusNormal"/>
              <w:jc w:val="center"/>
            </w:pPr>
            <w:r>
              <w:t>9</w:t>
            </w:r>
          </w:p>
        </w:tc>
        <w:tc>
          <w:tcPr>
            <w:tcW w:w="1474" w:type="dxa"/>
          </w:tcPr>
          <w:p w:rsidR="00404673" w:rsidRDefault="00404673">
            <w:pPr>
              <w:pStyle w:val="ConsPlusNormal"/>
              <w:jc w:val="center"/>
            </w:pPr>
            <w:r>
              <w:t>10</w:t>
            </w:r>
          </w:p>
        </w:tc>
      </w:tr>
      <w:tr w:rsidR="00404673">
        <w:tc>
          <w:tcPr>
            <w:tcW w:w="3118" w:type="dxa"/>
          </w:tcPr>
          <w:p w:rsidR="00404673" w:rsidRDefault="00404673">
            <w:pPr>
              <w:pStyle w:val="ConsPlusNormal"/>
            </w:pPr>
            <w:r>
              <w:t>Итого субсидий местным бюджетам из областного бюджета</w:t>
            </w:r>
          </w:p>
        </w:tc>
        <w:tc>
          <w:tcPr>
            <w:tcW w:w="1077" w:type="dxa"/>
          </w:tcPr>
          <w:p w:rsidR="00404673" w:rsidRDefault="00404673">
            <w:pPr>
              <w:pStyle w:val="ConsPlusNormal"/>
              <w:jc w:val="center"/>
            </w:pPr>
            <w:r>
              <w:t>000</w:t>
            </w:r>
          </w:p>
        </w:tc>
        <w:tc>
          <w:tcPr>
            <w:tcW w:w="567" w:type="dxa"/>
          </w:tcPr>
          <w:p w:rsidR="00404673" w:rsidRDefault="00404673">
            <w:pPr>
              <w:pStyle w:val="ConsPlusNormal"/>
              <w:jc w:val="center"/>
            </w:pPr>
            <w:r>
              <w:t>00</w:t>
            </w:r>
          </w:p>
        </w:tc>
        <w:tc>
          <w:tcPr>
            <w:tcW w:w="567" w:type="dxa"/>
          </w:tcPr>
          <w:p w:rsidR="00404673" w:rsidRDefault="00404673">
            <w:pPr>
              <w:pStyle w:val="ConsPlusNormal"/>
              <w:jc w:val="center"/>
            </w:pPr>
            <w:r>
              <w:t>00</w:t>
            </w:r>
          </w:p>
        </w:tc>
        <w:tc>
          <w:tcPr>
            <w:tcW w:w="1587" w:type="dxa"/>
          </w:tcPr>
          <w:p w:rsidR="00404673" w:rsidRDefault="00404673">
            <w:pPr>
              <w:pStyle w:val="ConsPlusNormal"/>
              <w:jc w:val="center"/>
            </w:pPr>
            <w:r>
              <w:t>00000 00000</w:t>
            </w:r>
          </w:p>
        </w:tc>
        <w:tc>
          <w:tcPr>
            <w:tcW w:w="567" w:type="dxa"/>
          </w:tcPr>
          <w:p w:rsidR="00404673" w:rsidRDefault="00404673">
            <w:pPr>
              <w:pStyle w:val="ConsPlusNormal"/>
              <w:jc w:val="center"/>
            </w:pPr>
            <w:r>
              <w:t>000</w:t>
            </w:r>
          </w:p>
        </w:tc>
        <w:tc>
          <w:tcPr>
            <w:tcW w:w="1474" w:type="dxa"/>
          </w:tcPr>
          <w:p w:rsidR="00404673" w:rsidRDefault="00404673">
            <w:pPr>
              <w:pStyle w:val="ConsPlusNormal"/>
              <w:jc w:val="center"/>
            </w:pPr>
            <w:r>
              <w:t>18892228,89</w:t>
            </w:r>
          </w:p>
        </w:tc>
        <w:tc>
          <w:tcPr>
            <w:tcW w:w="1701" w:type="dxa"/>
          </w:tcPr>
          <w:p w:rsidR="00404673" w:rsidRDefault="00404673">
            <w:pPr>
              <w:pStyle w:val="ConsPlusNormal"/>
              <w:jc w:val="center"/>
            </w:pPr>
            <w:r>
              <w:t>98291,40</w:t>
            </w:r>
          </w:p>
        </w:tc>
        <w:tc>
          <w:tcPr>
            <w:tcW w:w="1474" w:type="dxa"/>
          </w:tcPr>
          <w:p w:rsidR="00404673" w:rsidRDefault="00404673">
            <w:pPr>
              <w:pStyle w:val="ConsPlusNormal"/>
              <w:jc w:val="center"/>
            </w:pPr>
            <w:r>
              <w:t>10603797,60</w:t>
            </w:r>
          </w:p>
        </w:tc>
        <w:tc>
          <w:tcPr>
            <w:tcW w:w="1474" w:type="dxa"/>
          </w:tcPr>
          <w:p w:rsidR="00404673" w:rsidRDefault="00404673">
            <w:pPr>
              <w:pStyle w:val="ConsPlusNormal"/>
              <w:jc w:val="center"/>
            </w:pPr>
            <w:r>
              <w:t>10863351,20</w:t>
            </w:r>
          </w:p>
        </w:tc>
      </w:tr>
      <w:tr w:rsidR="00404673">
        <w:tc>
          <w:tcPr>
            <w:tcW w:w="3118" w:type="dxa"/>
            <w:vMerge w:val="restart"/>
          </w:tcPr>
          <w:p w:rsidR="00404673" w:rsidRDefault="00404673">
            <w:pPr>
              <w:pStyle w:val="ConsPlusNormal"/>
            </w:pPr>
            <w:r>
              <w:t>Субсидия бюджету муниципального образования "Город Киров" в целях внедрения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077" w:type="dxa"/>
          </w:tcPr>
          <w:p w:rsidR="00404673" w:rsidRDefault="00404673">
            <w:pPr>
              <w:pStyle w:val="ConsPlusNormal"/>
              <w:jc w:val="center"/>
            </w:pPr>
            <w:r>
              <w:t>815</w:t>
            </w:r>
          </w:p>
        </w:tc>
        <w:tc>
          <w:tcPr>
            <w:tcW w:w="567" w:type="dxa"/>
          </w:tcPr>
          <w:p w:rsidR="00404673" w:rsidRDefault="00404673">
            <w:pPr>
              <w:pStyle w:val="ConsPlusNormal"/>
              <w:jc w:val="center"/>
            </w:pPr>
            <w:r>
              <w:t>00</w:t>
            </w:r>
          </w:p>
        </w:tc>
        <w:tc>
          <w:tcPr>
            <w:tcW w:w="567" w:type="dxa"/>
          </w:tcPr>
          <w:p w:rsidR="00404673" w:rsidRDefault="00404673">
            <w:pPr>
              <w:pStyle w:val="ConsPlusNormal"/>
              <w:jc w:val="center"/>
            </w:pPr>
            <w:r>
              <w:t>00</w:t>
            </w:r>
          </w:p>
        </w:tc>
        <w:tc>
          <w:tcPr>
            <w:tcW w:w="1587" w:type="dxa"/>
          </w:tcPr>
          <w:p w:rsidR="00404673" w:rsidRDefault="00404673">
            <w:pPr>
              <w:pStyle w:val="ConsPlusNormal"/>
              <w:jc w:val="center"/>
            </w:pPr>
            <w:r>
              <w:t>00000 00000</w:t>
            </w:r>
          </w:p>
        </w:tc>
        <w:tc>
          <w:tcPr>
            <w:tcW w:w="567" w:type="dxa"/>
          </w:tcPr>
          <w:p w:rsidR="00404673" w:rsidRDefault="00404673">
            <w:pPr>
              <w:pStyle w:val="ConsPlusNormal"/>
              <w:jc w:val="center"/>
            </w:pPr>
            <w:r>
              <w:t>000</w:t>
            </w:r>
          </w:p>
        </w:tc>
        <w:tc>
          <w:tcPr>
            <w:tcW w:w="1474" w:type="dxa"/>
          </w:tcPr>
          <w:p w:rsidR="00404673" w:rsidRDefault="00404673">
            <w:pPr>
              <w:pStyle w:val="ConsPlusNormal"/>
              <w:jc w:val="center"/>
            </w:pPr>
            <w:r>
              <w:t>57997,6</w:t>
            </w:r>
          </w:p>
        </w:tc>
        <w:tc>
          <w:tcPr>
            <w:tcW w:w="1701" w:type="dxa"/>
          </w:tcPr>
          <w:p w:rsidR="00404673" w:rsidRDefault="00404673">
            <w:pPr>
              <w:pStyle w:val="ConsPlusNormal"/>
            </w:pPr>
          </w:p>
        </w:tc>
        <w:tc>
          <w:tcPr>
            <w:tcW w:w="1474" w:type="dxa"/>
          </w:tcPr>
          <w:p w:rsidR="00404673" w:rsidRDefault="00404673">
            <w:pPr>
              <w:pStyle w:val="ConsPlusNormal"/>
              <w:jc w:val="center"/>
            </w:pPr>
            <w:r>
              <w:t>72136,6</w:t>
            </w:r>
          </w:p>
        </w:tc>
        <w:tc>
          <w:tcPr>
            <w:tcW w:w="1474" w:type="dxa"/>
          </w:tcPr>
          <w:p w:rsidR="00404673" w:rsidRDefault="00404673">
            <w:pPr>
              <w:pStyle w:val="ConsPlusNormal"/>
              <w:jc w:val="center"/>
            </w:pPr>
            <w:r>
              <w:t>184286,1</w:t>
            </w:r>
          </w:p>
        </w:tc>
      </w:tr>
      <w:tr w:rsidR="00404673">
        <w:tc>
          <w:tcPr>
            <w:tcW w:w="3118" w:type="dxa"/>
            <w:vMerge/>
          </w:tcPr>
          <w:p w:rsidR="00404673" w:rsidRDefault="00404673">
            <w:pPr>
              <w:pStyle w:val="ConsPlusNormal"/>
            </w:pPr>
          </w:p>
        </w:tc>
        <w:tc>
          <w:tcPr>
            <w:tcW w:w="1077" w:type="dxa"/>
          </w:tcPr>
          <w:p w:rsidR="00404673" w:rsidRDefault="00404673">
            <w:pPr>
              <w:pStyle w:val="ConsPlusNormal"/>
              <w:jc w:val="center"/>
            </w:pPr>
            <w:r>
              <w:t>815</w:t>
            </w:r>
          </w:p>
        </w:tc>
        <w:tc>
          <w:tcPr>
            <w:tcW w:w="567" w:type="dxa"/>
          </w:tcPr>
          <w:p w:rsidR="00404673" w:rsidRDefault="00404673">
            <w:pPr>
              <w:pStyle w:val="ConsPlusNormal"/>
              <w:jc w:val="center"/>
            </w:pPr>
            <w:r>
              <w:t>04</w:t>
            </w:r>
          </w:p>
        </w:tc>
        <w:tc>
          <w:tcPr>
            <w:tcW w:w="567" w:type="dxa"/>
          </w:tcPr>
          <w:p w:rsidR="00404673" w:rsidRDefault="00404673">
            <w:pPr>
              <w:pStyle w:val="ConsPlusNormal"/>
              <w:jc w:val="center"/>
            </w:pPr>
            <w:r>
              <w:t>09</w:t>
            </w:r>
          </w:p>
        </w:tc>
        <w:tc>
          <w:tcPr>
            <w:tcW w:w="1587" w:type="dxa"/>
          </w:tcPr>
          <w:p w:rsidR="00404673" w:rsidRDefault="00404673">
            <w:pPr>
              <w:pStyle w:val="ConsPlusNormal"/>
              <w:jc w:val="center"/>
            </w:pPr>
            <w:r>
              <w:t>130R2 54180</w:t>
            </w:r>
          </w:p>
        </w:tc>
        <w:tc>
          <w:tcPr>
            <w:tcW w:w="567" w:type="dxa"/>
          </w:tcPr>
          <w:p w:rsidR="00404673" w:rsidRDefault="00404673">
            <w:pPr>
              <w:pStyle w:val="ConsPlusNormal"/>
              <w:jc w:val="center"/>
            </w:pPr>
            <w:r>
              <w:t>500</w:t>
            </w:r>
          </w:p>
        </w:tc>
        <w:tc>
          <w:tcPr>
            <w:tcW w:w="1474" w:type="dxa"/>
          </w:tcPr>
          <w:p w:rsidR="00404673" w:rsidRDefault="00404673">
            <w:pPr>
              <w:pStyle w:val="ConsPlusNormal"/>
              <w:jc w:val="center"/>
            </w:pPr>
            <w:r>
              <w:t>44889,4</w:t>
            </w:r>
          </w:p>
        </w:tc>
        <w:tc>
          <w:tcPr>
            <w:tcW w:w="1701" w:type="dxa"/>
          </w:tcPr>
          <w:p w:rsidR="00404673" w:rsidRDefault="00404673">
            <w:pPr>
              <w:pStyle w:val="ConsPlusNormal"/>
            </w:pPr>
          </w:p>
        </w:tc>
        <w:tc>
          <w:tcPr>
            <w:tcW w:w="1474" w:type="dxa"/>
          </w:tcPr>
          <w:p w:rsidR="00404673" w:rsidRDefault="00404673">
            <w:pPr>
              <w:pStyle w:val="ConsPlusNormal"/>
              <w:jc w:val="center"/>
            </w:pPr>
            <w:r>
              <w:t>39514,5</w:t>
            </w:r>
          </w:p>
        </w:tc>
        <w:tc>
          <w:tcPr>
            <w:tcW w:w="1474" w:type="dxa"/>
          </w:tcPr>
          <w:p w:rsidR="00404673" w:rsidRDefault="00404673">
            <w:pPr>
              <w:pStyle w:val="ConsPlusNormal"/>
              <w:jc w:val="center"/>
            </w:pPr>
            <w:r>
              <w:t>150359,1</w:t>
            </w:r>
          </w:p>
        </w:tc>
      </w:tr>
      <w:tr w:rsidR="00404673">
        <w:tc>
          <w:tcPr>
            <w:tcW w:w="3118" w:type="dxa"/>
            <w:vMerge/>
          </w:tcPr>
          <w:p w:rsidR="00404673" w:rsidRDefault="00404673">
            <w:pPr>
              <w:pStyle w:val="ConsPlusNormal"/>
            </w:pPr>
          </w:p>
        </w:tc>
        <w:tc>
          <w:tcPr>
            <w:tcW w:w="1077" w:type="dxa"/>
          </w:tcPr>
          <w:p w:rsidR="00404673" w:rsidRDefault="00404673">
            <w:pPr>
              <w:pStyle w:val="ConsPlusNormal"/>
              <w:jc w:val="center"/>
            </w:pPr>
            <w:r>
              <w:t>815</w:t>
            </w:r>
          </w:p>
        </w:tc>
        <w:tc>
          <w:tcPr>
            <w:tcW w:w="567" w:type="dxa"/>
          </w:tcPr>
          <w:p w:rsidR="00404673" w:rsidRDefault="00404673">
            <w:pPr>
              <w:pStyle w:val="ConsPlusNormal"/>
              <w:jc w:val="center"/>
            </w:pPr>
            <w:r>
              <w:t>04</w:t>
            </w:r>
          </w:p>
        </w:tc>
        <w:tc>
          <w:tcPr>
            <w:tcW w:w="567" w:type="dxa"/>
          </w:tcPr>
          <w:p w:rsidR="00404673" w:rsidRDefault="00404673">
            <w:pPr>
              <w:pStyle w:val="ConsPlusNormal"/>
              <w:jc w:val="center"/>
            </w:pPr>
            <w:r>
              <w:t>09</w:t>
            </w:r>
          </w:p>
        </w:tc>
        <w:tc>
          <w:tcPr>
            <w:tcW w:w="1587" w:type="dxa"/>
          </w:tcPr>
          <w:p w:rsidR="00404673" w:rsidRDefault="00404673">
            <w:pPr>
              <w:pStyle w:val="ConsPlusNormal"/>
              <w:jc w:val="center"/>
            </w:pPr>
            <w:r>
              <w:t>130R2 А4180</w:t>
            </w:r>
          </w:p>
        </w:tc>
        <w:tc>
          <w:tcPr>
            <w:tcW w:w="567" w:type="dxa"/>
          </w:tcPr>
          <w:p w:rsidR="00404673" w:rsidRDefault="00404673">
            <w:pPr>
              <w:pStyle w:val="ConsPlusNormal"/>
              <w:jc w:val="center"/>
            </w:pPr>
            <w:r>
              <w:t>500</w:t>
            </w:r>
          </w:p>
        </w:tc>
        <w:tc>
          <w:tcPr>
            <w:tcW w:w="1474" w:type="dxa"/>
          </w:tcPr>
          <w:p w:rsidR="00404673" w:rsidRDefault="00404673">
            <w:pPr>
              <w:pStyle w:val="ConsPlusNormal"/>
              <w:jc w:val="center"/>
            </w:pPr>
            <w:r>
              <w:t>13108,2</w:t>
            </w:r>
          </w:p>
        </w:tc>
        <w:tc>
          <w:tcPr>
            <w:tcW w:w="1701" w:type="dxa"/>
          </w:tcPr>
          <w:p w:rsidR="00404673" w:rsidRDefault="00404673">
            <w:pPr>
              <w:pStyle w:val="ConsPlusNormal"/>
            </w:pPr>
          </w:p>
        </w:tc>
        <w:tc>
          <w:tcPr>
            <w:tcW w:w="1474" w:type="dxa"/>
          </w:tcPr>
          <w:p w:rsidR="00404673" w:rsidRDefault="00404673">
            <w:pPr>
              <w:pStyle w:val="ConsPlusNormal"/>
              <w:jc w:val="center"/>
            </w:pPr>
            <w:r>
              <w:t>32622,1</w:t>
            </w:r>
          </w:p>
        </w:tc>
        <w:tc>
          <w:tcPr>
            <w:tcW w:w="1474" w:type="dxa"/>
          </w:tcPr>
          <w:p w:rsidR="00404673" w:rsidRDefault="00404673">
            <w:pPr>
              <w:pStyle w:val="ConsPlusNormal"/>
              <w:jc w:val="center"/>
            </w:pPr>
            <w:r>
              <w:t>33927,0</w:t>
            </w:r>
          </w:p>
        </w:tc>
      </w:tr>
    </w:tbl>
    <w:p w:rsidR="00404673" w:rsidRDefault="00404673">
      <w:pPr>
        <w:pStyle w:val="ConsPlusNormal"/>
      </w:pPr>
      <w:hyperlink r:id="rId6">
        <w:r>
          <w:rPr>
            <w:i/>
            <w:color w:val="0000FF"/>
          </w:rPr>
          <w:br/>
          <w:t xml:space="preserve">Закон Кировской области от 15.12.2023 N 228-ЗО (ред. от 28.03.2024) "Об областном бюджете на 2024 год и на плановый период 2025 и 2026 годов" (принят постановлением Законодательного Собрания Кировской области от 14.12.2023 N 29/210) (вместе с "Нормативами распределения доходов между бюджетами бюджетной системы Кировской области на 2024 год и на плановый период 2025 и 2026 годов", "Дополнительными нормативами отчислений в бюджеты муниципальных районов (муниципальных округов) от налога на доходы физических лиц, подлежащего зачислению в областной бюджет, полностью или частично заменяющими дотации на выравнивание бюджетной обеспеченности муниципальных районов (муниципальных округов, городских округов), на 2024 год и на плановый период 2025 и 2026 годов", "Порядком учета показателей, характеризующих деятельность субъектов малого и среднего предпринимательства, используемых для расчета размеров дифференцированных нормативов отчислений в бюджеты городских округов области", "Перечнем и кодами главных распорядителей средств областного бюджета", "Перечнем публичных нормативных обязательств, подлежащих исполнению за счет средств областного бюджета, на 2024 год", "Перечнем публичных нормативных обязательств, подлежащих исполнению за счет средств областного бюджета, на 2025 год и на 2026 год", "Перечнем и кодами статей источников финансирования дефицита областного бюджета", "Программой государственных внутренних заимствований Кировской области на 2024 год", "Программой государственных внутренних заимствований Кировской области на 2025 год и на 2026 год", "Перечнем и объемами субвенций местным бюджетам из областного бюджета", "Перечнем и объемами субсидий бюджетам муниципальных образований, предоставляемых из областного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"Перечнем и объемами иных межбюджетных трансфертов местным </w:t>
        </w:r>
        <w:r>
          <w:rPr>
            <w:i/>
            <w:color w:val="0000FF"/>
          </w:rPr>
          <w:lastRenderedPageBreak/>
          <w:t>бюджетам из областного бюджета") {КонсультантПлюс}</w:t>
        </w:r>
      </w:hyperlink>
      <w:r>
        <w:br/>
      </w:r>
    </w:p>
    <w:p w:rsidR="00730AF2" w:rsidRDefault="00730AF2">
      <w:bookmarkStart w:id="0" w:name="_GoBack"/>
      <w:bookmarkEnd w:id="0"/>
    </w:p>
    <w:sectPr w:rsidR="00730AF2" w:rsidSect="00E6298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673"/>
    <w:rsid w:val="00404673"/>
    <w:rsid w:val="0073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2B46E-4D3A-4D87-82F0-28B414C3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467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04673"/>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240&amp;n=225158&amp;dst=262929" TargetMode="External"/><Relationship Id="rId5" Type="http://schemas.openxmlformats.org/officeDocument/2006/relationships/hyperlink" Target="https://login.consultant.ru/link/?req=doc&amp;base=LAW&amp;n=470713&amp;dst=3384" TargetMode="External"/><Relationship Id="rId4" Type="http://schemas.openxmlformats.org/officeDocument/2006/relationships/hyperlink" Target="https://login.consultant.ru/link/?req=doc&amp;base=RLAW240&amp;n=224868&amp;dst=1008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3140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Шульмина Екатерина Николаевна</dc:creator>
  <cp:keywords/>
  <dc:description/>
  <cp:lastModifiedBy>Шульмина Екатерина Николаевна</cp:lastModifiedBy>
  <cp:revision>1</cp:revision>
  <dcterms:created xsi:type="dcterms:W3CDTF">2024-05-08T05:25:00Z</dcterms:created>
  <dcterms:modified xsi:type="dcterms:W3CDTF">2024-05-08T05:25:00Z</dcterms:modified>
</cp:coreProperties>
</file>